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490D" w14:textId="77777777" w:rsidR="00CE4ADF" w:rsidRPr="00515698" w:rsidRDefault="00CE4ADF" w:rsidP="00CE4A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8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CE4ADF" w:rsidRPr="00515698" w14:paraId="581298C4" w14:textId="77777777">
        <w:trPr>
          <w:trHeight w:val="571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1697" w14:textId="77777777" w:rsidR="00CE4ADF" w:rsidRPr="00515698" w:rsidRDefault="00CE4ADF" w:rsidP="00CE4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Haben Sie externe Hilfestellungen in Anspruch genommen ? Wenn ja, bitte geben Sie an, welche Hilfestellung Sie in Anspruch genommen haben ? </w:t>
            </w:r>
          </w:p>
        </w:tc>
      </w:tr>
      <w:tr w:rsidR="006873D2" w:rsidRPr="00515698" w14:paraId="076A3C23" w14:textId="77777777">
        <w:trPr>
          <w:trHeight w:val="570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75FC" w14:textId="77777777" w:rsidR="006873D2" w:rsidRPr="00515698" w:rsidRDefault="006873D2" w:rsidP="006873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F6E">
              <w:rPr>
                <w:rFonts w:ascii="Arial" w:hAnsi="Arial" w:cs="Arial"/>
                <w:color w:val="000000"/>
                <w:sz w:val="22"/>
                <w:szCs w:val="22"/>
              </w:rPr>
              <w:t xml:space="preserve">Der Antrag beruht auf einer Vorlage der Arbeitsgemeinschaft Dermatologische Onkologie (ADO) in der Deutschen Krebsgesellschaft und der Deutschen Dermatologischen Gesellschaft basierend auf dem Stand der wissenschaftlichen Erkenntnis sowie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Angaben des</w:t>
            </w:r>
            <w:r w:rsidRPr="00551F6E">
              <w:rPr>
                <w:rFonts w:ascii="Arial" w:hAnsi="Arial" w:cs="Arial"/>
                <w:color w:val="000000"/>
                <w:sz w:val="22"/>
                <w:szCs w:val="22"/>
              </w:rPr>
              <w:t xml:space="preserve"> Herstellers.</w:t>
            </w:r>
          </w:p>
        </w:tc>
      </w:tr>
    </w:tbl>
    <w:p w14:paraId="1191BA4C" w14:textId="77777777" w:rsidR="00CE4ADF" w:rsidRDefault="00CE4ADF" w:rsidP="00CE4A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A4B633" w14:textId="77777777" w:rsidR="004634D0" w:rsidRPr="00B40285" w:rsidRDefault="004634D0" w:rsidP="004634D0">
      <w:pPr>
        <w:rPr>
          <w:rFonts w:ascii="Arial Narrow" w:hAnsi="Arial Narrow"/>
          <w:b/>
          <w:color w:val="548DD4"/>
          <w:szCs w:val="22"/>
        </w:rPr>
      </w:pPr>
      <w:r w:rsidRPr="00B40285">
        <w:rPr>
          <w:rFonts w:ascii="Arial Narrow" w:hAnsi="Arial Narrow"/>
          <w:b/>
          <w:color w:val="548DD4"/>
          <w:szCs w:val="22"/>
        </w:rPr>
        <w:t>BESCHREIBUNG</w:t>
      </w:r>
    </w:p>
    <w:p w14:paraId="2FEE8C09" w14:textId="77777777" w:rsidR="004634D0" w:rsidRPr="00515698" w:rsidRDefault="004634D0" w:rsidP="00CE4A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CE4ADF" w:rsidRPr="00515698" w14:paraId="39CA8C84" w14:textId="77777777">
        <w:trPr>
          <w:trHeight w:val="290"/>
        </w:trPr>
        <w:tc>
          <w:tcPr>
            <w:tcW w:w="9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F003" w14:textId="77777777" w:rsidR="00CE4ADF" w:rsidRPr="00515698" w:rsidRDefault="00CE4ADF" w:rsidP="00CE4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 Angefragte Untersuchungs- und Behandlungsmethode (Kurzbezeichnung</w:t>
            </w:r>
            <w:r w:rsidR="006145B5"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max. 200 Z.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CE4ADF" w:rsidRPr="00515698" w14:paraId="28D742DF" w14:textId="77777777">
        <w:trPr>
          <w:trHeight w:val="289"/>
        </w:trPr>
        <w:tc>
          <w:tcPr>
            <w:tcW w:w="9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6D4F" w14:textId="77777777" w:rsidR="00CE4ADF" w:rsidRPr="00515698" w:rsidRDefault="008545A3" w:rsidP="00EA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45A3">
              <w:rPr>
                <w:rFonts w:ascii="Arial" w:hAnsi="Arial" w:cs="Arial"/>
                <w:sz w:val="22"/>
                <w:szCs w:val="22"/>
              </w:rPr>
              <w:t>Talimogen</w:t>
            </w:r>
            <w:proofErr w:type="spellEnd"/>
            <w:r w:rsidRPr="008545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5A3">
              <w:rPr>
                <w:rFonts w:ascii="Arial" w:hAnsi="Arial" w:cs="Arial"/>
                <w:sz w:val="22"/>
                <w:szCs w:val="22"/>
              </w:rPr>
              <w:t>laherparepvec</w:t>
            </w:r>
            <w:proofErr w:type="spellEnd"/>
            <w:r w:rsidRPr="008545A3">
              <w:rPr>
                <w:rFonts w:ascii="Arial" w:hAnsi="Arial" w:cs="Arial"/>
                <w:sz w:val="22"/>
                <w:szCs w:val="22"/>
              </w:rPr>
              <w:t xml:space="preserve"> bei fortgeschrittenem Melanom</w:t>
            </w:r>
          </w:p>
        </w:tc>
      </w:tr>
    </w:tbl>
    <w:p w14:paraId="652D3050" w14:textId="77777777" w:rsidR="00CE4ADF" w:rsidRPr="00515698" w:rsidRDefault="00CE4ADF" w:rsidP="00CE4A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4"/>
      </w:tblGrid>
      <w:tr w:rsidR="00CE4ADF" w:rsidRPr="00515698" w14:paraId="430B9940" w14:textId="77777777">
        <w:trPr>
          <w:trHeight w:val="300"/>
        </w:trPr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5BF6" w14:textId="77777777" w:rsidR="00CE4ADF" w:rsidRPr="00515698" w:rsidRDefault="00CE4ADF" w:rsidP="00CE4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 Alternative Bezeichnung(en) der Methode </w:t>
            </w:r>
          </w:p>
        </w:tc>
      </w:tr>
      <w:tr w:rsidR="00CE4ADF" w:rsidRPr="00515698" w14:paraId="20EB1F17" w14:textId="77777777">
        <w:trPr>
          <w:trHeight w:val="251"/>
        </w:trPr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FE86" w14:textId="77777777" w:rsidR="00CE4ADF" w:rsidRPr="00515698" w:rsidRDefault="009A26A1" w:rsidP="00DE4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Imlygic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®, 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T-VEC</w:t>
            </w:r>
          </w:p>
        </w:tc>
      </w:tr>
    </w:tbl>
    <w:p w14:paraId="771488F9" w14:textId="77777777" w:rsidR="00C5650A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2A69D3" w:rsidRPr="00515698" w14:paraId="122A9049" w14:textId="77777777" w:rsidTr="002A69D3">
        <w:trPr>
          <w:trHeight w:val="249"/>
        </w:trPr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AD91" w14:textId="77777777" w:rsidR="002A69D3" w:rsidRPr="00BD03DE" w:rsidRDefault="002A69D3" w:rsidP="002A69D3">
            <w:pPr>
              <w:tabs>
                <w:tab w:val="num" w:pos="-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Pr="00BD03DE">
              <w:rPr>
                <w:rFonts w:ascii="Arial" w:hAnsi="Arial" w:cs="Arial"/>
                <w:b/>
                <w:sz w:val="22"/>
                <w:szCs w:val="22"/>
              </w:rPr>
              <w:t xml:space="preserve"> Beruht die neue Untersuchungs- und Behandlungsmethode vollständig oder in Teilen auf den Einsatz eines Medizinproduktes?</w:t>
            </w:r>
          </w:p>
        </w:tc>
      </w:tr>
      <w:tr w:rsidR="002A69D3" w:rsidRPr="00515698" w14:paraId="04218CCD" w14:textId="77777777" w:rsidTr="002A69D3">
        <w:trPr>
          <w:trHeight w:val="249"/>
        </w:trPr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947"/>
            </w:tblGrid>
            <w:tr w:rsidR="002A69D3" w:rsidRPr="00BD03DE" w14:paraId="44ADDD43" w14:textId="77777777" w:rsidTr="002A69D3">
              <w:trPr>
                <w:tblCellSpacing w:w="15" w:type="dxa"/>
              </w:trPr>
              <w:tc>
                <w:tcPr>
                  <w:tcW w:w="755" w:type="dxa"/>
                  <w:vAlign w:val="center"/>
                  <w:hideMark/>
                </w:tcPr>
                <w:p w14:paraId="05EDF69F" w14:textId="77777777" w:rsidR="002A69D3" w:rsidRPr="00BD03DE" w:rsidRDefault="002A69D3" w:rsidP="002A69D3">
                  <w:pPr>
                    <w:rPr>
                      <w:rFonts w:asciiTheme="minorHAnsi" w:hAnsiTheme="minorHAnsi"/>
                    </w:rPr>
                  </w:pPr>
                  <w:r w:rsidRPr="00BD03DE">
                    <w:object w:dxaOrig="1440" w:dyaOrig="1440" w14:anchorId="5C0FE47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8pt;height:15.6pt" o:ole="">
                        <v:imagedata r:id="rId8" o:title=""/>
                      </v:shape>
                      <w:control r:id="rId9" w:name="DefaultOcxName2" w:shapeid="_x0000_i1034"/>
                    </w:object>
                  </w:r>
                  <w:r w:rsidRPr="00BD03DE">
                    <w:rPr>
                      <w:rFonts w:asciiTheme="minorHAnsi" w:hAnsiTheme="minorHAnsi"/>
                    </w:rPr>
                    <w:t>Ja  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14:paraId="151AEAC9" w14:textId="77777777" w:rsidR="002A69D3" w:rsidRPr="00BD03DE" w:rsidRDefault="002A69D3" w:rsidP="002A69D3">
                  <w:pPr>
                    <w:rPr>
                      <w:rFonts w:asciiTheme="minorHAnsi" w:hAnsiTheme="minorHAnsi"/>
                    </w:rPr>
                  </w:pPr>
                  <w:r w:rsidRPr="00BD03DE">
                    <w:object w:dxaOrig="1440" w:dyaOrig="1440" w14:anchorId="68BBD562">
                      <v:shape id="_x0000_i1037" type="#_x0000_t75" style="width:18pt;height:15.6pt" o:ole="">
                        <v:imagedata r:id="rId10" o:title=""/>
                      </v:shape>
                      <w:control r:id="rId11" w:name="DefaultOcxName11" w:shapeid="_x0000_i1037"/>
                    </w:object>
                  </w:r>
                  <w:r w:rsidRPr="00BD03DE">
                    <w:rPr>
                      <w:rFonts w:asciiTheme="minorHAnsi" w:hAnsiTheme="minorHAnsi"/>
                    </w:rPr>
                    <w:t>Nein</w:t>
                  </w:r>
                </w:p>
              </w:tc>
            </w:tr>
          </w:tbl>
          <w:p w14:paraId="5D0E2EAD" w14:textId="77777777" w:rsidR="002A69D3" w:rsidRDefault="002A69D3" w:rsidP="002A69D3">
            <w:pPr>
              <w:tabs>
                <w:tab w:val="num" w:pos="-306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2341CF" w14:textId="77777777" w:rsidR="002A69D3" w:rsidRDefault="002A69D3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2A69D3" w:rsidRPr="00515698" w14:paraId="5E6586A2" w14:textId="77777777" w:rsidTr="002A69D3">
        <w:trPr>
          <w:trHeight w:val="249"/>
        </w:trPr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518D" w14:textId="3DFE23C5" w:rsidR="002A69D3" w:rsidRPr="00BD03DE" w:rsidRDefault="002A69D3" w:rsidP="00E645C0">
            <w:pPr>
              <w:tabs>
                <w:tab w:val="num" w:pos="-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69D3">
              <w:rPr>
                <w:rFonts w:ascii="Arial" w:hAnsi="Arial" w:cs="Arial"/>
                <w:b/>
                <w:sz w:val="22"/>
                <w:szCs w:val="22"/>
              </w:rPr>
              <w:t>1.4 Wurde für diese angefragte Untersuchungs- und Behandlungsmethode von Ihrem Krankenhaus bereits vor dem 01.01.</w:t>
            </w:r>
            <w:r w:rsidR="008F580F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Pr="002A69D3">
              <w:rPr>
                <w:rFonts w:ascii="Arial" w:hAnsi="Arial" w:cs="Arial"/>
                <w:b/>
                <w:sz w:val="22"/>
                <w:szCs w:val="22"/>
              </w:rPr>
              <w:t xml:space="preserve"> eine Anfrage gemäß §6 Abs. 2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KHEntgG an das InEK übermittelt </w:t>
            </w:r>
            <w:r w:rsidRPr="00BD03D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2A69D3" w:rsidRPr="00515698" w14:paraId="55CA1789" w14:textId="77777777" w:rsidTr="002A69D3">
        <w:trPr>
          <w:trHeight w:val="249"/>
        </w:trPr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947"/>
            </w:tblGrid>
            <w:tr w:rsidR="002A69D3" w:rsidRPr="002A69D3" w14:paraId="2E4496B8" w14:textId="77777777" w:rsidTr="002A69D3">
              <w:trPr>
                <w:tblCellSpacing w:w="15" w:type="dxa"/>
              </w:trPr>
              <w:tc>
                <w:tcPr>
                  <w:tcW w:w="755" w:type="dxa"/>
                  <w:vAlign w:val="center"/>
                  <w:hideMark/>
                </w:tcPr>
                <w:p w14:paraId="77EACAB7" w14:textId="77777777" w:rsidR="002A69D3" w:rsidRPr="002A69D3" w:rsidRDefault="002A69D3" w:rsidP="002A69D3">
                  <w:pPr>
                    <w:rPr>
                      <w:rFonts w:asciiTheme="minorHAnsi" w:hAnsiTheme="minorHAnsi"/>
                      <w:highlight w:val="yellow"/>
                    </w:rPr>
                  </w:pPr>
                  <w:r w:rsidRPr="002A69D3">
                    <w:rPr>
                      <w:highlight w:val="yellow"/>
                    </w:rPr>
                    <w:object w:dxaOrig="1440" w:dyaOrig="1440" w14:anchorId="08F606FE">
                      <v:shape id="_x0000_i1040" type="#_x0000_t75" style="width:18pt;height:15.6pt" o:ole="">
                        <v:imagedata r:id="rId12" o:title=""/>
                      </v:shape>
                      <w:control r:id="rId13" w:name="DefaultOcxName21" w:shapeid="_x0000_i1040"/>
                    </w:object>
                  </w:r>
                  <w:r w:rsidRPr="002A69D3">
                    <w:rPr>
                      <w:rFonts w:asciiTheme="minorHAnsi" w:hAnsiTheme="minorHAnsi"/>
                      <w:highlight w:val="yellow"/>
                    </w:rPr>
                    <w:t>Ja  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14:paraId="056FD4D5" w14:textId="77777777" w:rsidR="002A69D3" w:rsidRPr="002A69D3" w:rsidRDefault="002A69D3" w:rsidP="002A69D3">
                  <w:pPr>
                    <w:rPr>
                      <w:rFonts w:asciiTheme="minorHAnsi" w:hAnsiTheme="minorHAnsi"/>
                      <w:highlight w:val="yellow"/>
                    </w:rPr>
                  </w:pPr>
                  <w:r w:rsidRPr="002A69D3">
                    <w:rPr>
                      <w:highlight w:val="yellow"/>
                    </w:rPr>
                    <w:object w:dxaOrig="1440" w:dyaOrig="1440" w14:anchorId="6176F173">
                      <v:shape id="_x0000_i1043" type="#_x0000_t75" style="width:18pt;height:15.6pt" o:ole="">
                        <v:imagedata r:id="rId12" o:title=""/>
                      </v:shape>
                      <w:control r:id="rId14" w:name="DefaultOcxName111" w:shapeid="_x0000_i1043"/>
                    </w:object>
                  </w:r>
                  <w:r w:rsidRPr="002A69D3">
                    <w:rPr>
                      <w:rFonts w:asciiTheme="minorHAnsi" w:hAnsiTheme="minorHAnsi"/>
                      <w:highlight w:val="yellow"/>
                    </w:rPr>
                    <w:t>Nein</w:t>
                  </w:r>
                </w:p>
              </w:tc>
            </w:tr>
          </w:tbl>
          <w:p w14:paraId="1856D22F" w14:textId="77777777" w:rsidR="002A69D3" w:rsidRDefault="002A69D3" w:rsidP="002A69D3">
            <w:pPr>
              <w:tabs>
                <w:tab w:val="num" w:pos="-306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F5C108" w14:textId="77777777" w:rsidR="002A69D3" w:rsidRPr="00515698" w:rsidRDefault="002A69D3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4"/>
      </w:tblGrid>
      <w:tr w:rsidR="00C5650A" w:rsidRPr="00515698" w14:paraId="15A336E9" w14:textId="77777777">
        <w:trPr>
          <w:trHeight w:val="249"/>
        </w:trPr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16B7" w14:textId="77777777" w:rsidR="00C5650A" w:rsidRPr="00515698" w:rsidRDefault="00C5650A" w:rsidP="002A6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2A69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Beschreibung der neuen Methode </w:t>
            </w:r>
          </w:p>
        </w:tc>
      </w:tr>
      <w:tr w:rsidR="00C5650A" w:rsidRPr="00253330" w14:paraId="70F0FDEC" w14:textId="77777777" w:rsidTr="004F7FDC">
        <w:trPr>
          <w:trHeight w:val="1003"/>
        </w:trPr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469D" w14:textId="77777777" w:rsidR="009A26A1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B8F">
              <w:rPr>
                <w:rFonts w:ascii="Arial" w:hAnsi="Arial" w:cs="Arial"/>
                <w:sz w:val="22"/>
                <w:szCs w:val="22"/>
              </w:rPr>
              <w:t xml:space="preserve">Talimogen-Laherparepvec </w:t>
            </w:r>
            <w:r w:rsidRPr="0089209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0143B8">
              <w:rPr>
                <w:rFonts w:ascii="Arial" w:hAnsi="Arial" w:cs="Arial"/>
                <w:sz w:val="22"/>
                <w:szCs w:val="22"/>
              </w:rPr>
              <w:t>ein abgeschwächtes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Herpes simplex-Virus Typ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(HSV-1), das durch die funktionelle Deletion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von zwei Genen (ICP34.5 und ICP47) 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die Insertion der codierenden Sequenz für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den humanen Granulozyten-Makrophagenkoloniestimulierenden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 xml:space="preserve">Faktor (GM-CSF)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therapeutische Zwecke verändert </w:t>
            </w:r>
            <w:r w:rsidRPr="000143B8">
              <w:rPr>
                <w:rFonts w:ascii="Arial" w:hAnsi="Arial" w:cs="Arial"/>
                <w:sz w:val="22"/>
                <w:szCs w:val="22"/>
              </w:rPr>
              <w:t>wurde</w:t>
            </w:r>
            <w:r>
              <w:rPr>
                <w:rFonts w:ascii="Arial" w:hAnsi="Arial" w:cs="Arial"/>
                <w:sz w:val="22"/>
                <w:szCs w:val="22"/>
              </w:rPr>
              <w:t xml:space="preserve">. Es wird durch direkte Injektion in Metastasen an die Tumorzellen gebracht, um deren Lyse, aber auch eine tumorspezifische Immunreaktion zu induzieren. </w:t>
            </w:r>
          </w:p>
          <w:p w14:paraId="5467B0D4" w14:textId="77777777" w:rsidR="009A26A1" w:rsidRPr="00551F6E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3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8F78CE9" w14:textId="77777777" w:rsidR="009A26A1" w:rsidRPr="00F14B8F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Mit der OPTIM-Studie zum Einsatz von Talimogen-Laherparepvec im kontrollierten Vergleich zum Einsatz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von GM-CSF konnte eine signifi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kante Wirksamkeit auf direkt injizierte, wie auch nicht direkt injizierte Metastasen nachgewiesen werden.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amit wurde eine weitere Möglich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keit entwickelt, die körpereigene Immunität gegenüber Tumorzellen beim metastasierten Melanom zu aktiv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ieren. Bemerkenswert ist in die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sem Zusammenhang die gute Verträglichkeit, die einen bre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iten Einsatz möglich machen.</w:t>
            </w:r>
          </w:p>
          <w:p w14:paraId="3BE57C98" w14:textId="77777777" w:rsidR="009A26A1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ie Wirksamkeit war insbesondere in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Gruppe von Patienten mit aus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schließlichen Haut-, Weichteil- un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 Lymphknotenmetastasen zu beob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achten, so dass die Zulassung in Euro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 auf diese Patientengruppe be</w:t>
            </w:r>
            <w:r w:rsidRPr="00F14B8F">
              <w:rPr>
                <w:rFonts w:ascii="Arial" w:hAnsi="Arial" w:cs="Arial"/>
                <w:color w:val="000000"/>
                <w:sz w:val="22"/>
                <w:szCs w:val="22"/>
              </w:rPr>
              <w:t>schränkt wurde.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DE9A4AA" w14:textId="77777777" w:rsidR="009A26A1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5EF89B" w14:textId="77777777" w:rsidR="009A26A1" w:rsidRPr="002102F9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2F9">
              <w:rPr>
                <w:rFonts w:ascii="Arial" w:hAnsi="Arial" w:cs="Arial"/>
                <w:sz w:val="22"/>
                <w:szCs w:val="22"/>
              </w:rPr>
              <w:t>Quellen:</w:t>
            </w:r>
          </w:p>
          <w:p w14:paraId="51742D0C" w14:textId="77777777" w:rsidR="00253330" w:rsidRPr="007D2653" w:rsidRDefault="009A26A1" w:rsidP="009A26A1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43B8">
              <w:rPr>
                <w:rFonts w:ascii="Arial" w:hAnsi="Arial" w:cs="Arial"/>
                <w:sz w:val="22"/>
                <w:szCs w:val="22"/>
              </w:rPr>
              <w:t xml:space="preserve">Andtbacka RH, Kaufman HL, Collichio F, et al. </w:t>
            </w:r>
            <w:r w:rsidRPr="000143B8">
              <w:rPr>
                <w:rFonts w:ascii="Arial" w:hAnsi="Arial" w:cs="Arial"/>
                <w:sz w:val="22"/>
                <w:szCs w:val="22"/>
                <w:lang w:val="en-US"/>
              </w:rPr>
              <w:t>Talimogene Laherparepvec Improves Durable Response Rate in Patients With Advanced Melanoma. J Clin Oncol 2015;33:2780</w:t>
            </w:r>
          </w:p>
        </w:tc>
      </w:tr>
    </w:tbl>
    <w:p w14:paraId="684A3B65" w14:textId="77777777" w:rsidR="00C5650A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2A69D3" w:rsidRPr="00515698" w14:paraId="553C9C05" w14:textId="77777777" w:rsidTr="002A69D3">
        <w:trPr>
          <w:trHeight w:val="266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8ADB" w14:textId="77777777" w:rsidR="002A69D3" w:rsidRPr="00515698" w:rsidRDefault="002A69D3" w:rsidP="002A69D3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Mit welchem OPS wird die Methode verschlüsselt? </w:t>
            </w:r>
          </w:p>
        </w:tc>
      </w:tr>
      <w:tr w:rsidR="002A69D3" w:rsidRPr="00515698" w14:paraId="040DA105" w14:textId="77777777" w:rsidTr="002A69D3">
        <w:trPr>
          <w:trHeight w:val="418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48F5" w14:textId="77777777" w:rsidR="002A69D3" w:rsidRPr="00515698" w:rsidRDefault="009A26A1" w:rsidP="002A6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Ein spezifischer 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OPS Code für </w:t>
            </w:r>
            <w:r w:rsidRPr="00F14B8F">
              <w:rPr>
                <w:rFonts w:ascii="Arial" w:hAnsi="Arial" w:cs="Arial"/>
                <w:sz w:val="22"/>
                <w:szCs w:val="22"/>
              </w:rPr>
              <w:t xml:space="preserve">Talimogen-Laherparepvec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existiert bislang nicht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19E6F145" w14:textId="77777777" w:rsidR="002A69D3" w:rsidRDefault="002A69D3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2A69D3" w:rsidRPr="00515698" w14:paraId="0416F758" w14:textId="77777777" w:rsidTr="002A69D3">
        <w:trPr>
          <w:trHeight w:val="266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9D3C" w14:textId="77777777" w:rsidR="002A69D3" w:rsidRPr="00515698" w:rsidRDefault="002A69D3" w:rsidP="002A69D3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A69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Anmerkungen zu den Prozeduren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A69D3" w:rsidRPr="00515698" w14:paraId="3D9798BA" w14:textId="77777777" w:rsidTr="002A69D3">
        <w:trPr>
          <w:trHeight w:val="418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97B5" w14:textId="77777777" w:rsidR="002A69D3" w:rsidRPr="00515698" w:rsidRDefault="002A69D3" w:rsidP="002A6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CAE438" w14:textId="77777777" w:rsidR="002A69D3" w:rsidRDefault="002A69D3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A23FF7" w14:textId="77777777" w:rsidR="002A69D3" w:rsidRPr="00FA73F5" w:rsidRDefault="002A69D3" w:rsidP="002A69D3">
      <w:pPr>
        <w:rPr>
          <w:rFonts w:ascii="Arial Narrow" w:hAnsi="Arial Narrow"/>
          <w:b/>
          <w:color w:val="548DD4"/>
          <w:szCs w:val="22"/>
        </w:rPr>
      </w:pPr>
      <w:r>
        <w:rPr>
          <w:rFonts w:ascii="Arial Narrow" w:hAnsi="Arial Narrow"/>
          <w:b/>
          <w:color w:val="548DD4"/>
          <w:szCs w:val="22"/>
        </w:rPr>
        <w:t>METHODENDETAILS</w:t>
      </w:r>
    </w:p>
    <w:p w14:paraId="387CB7E1" w14:textId="77777777" w:rsidR="002A69D3" w:rsidRPr="00515698" w:rsidRDefault="002A69D3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D03DE" w:rsidRPr="00515698" w14:paraId="58F98E30" w14:textId="77777777">
        <w:trPr>
          <w:trHeight w:val="249"/>
        </w:trPr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01B7" w14:textId="77777777" w:rsidR="00BD03DE" w:rsidRPr="00515698" w:rsidRDefault="00BD03DE" w:rsidP="002A6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2A69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Bei welchen Patienten wird die Methode angewandt (Indikation)? </w:t>
            </w:r>
          </w:p>
        </w:tc>
      </w:tr>
      <w:tr w:rsidR="00BD03DE" w:rsidRPr="00515698" w14:paraId="6D2B2318" w14:textId="77777777">
        <w:trPr>
          <w:trHeight w:val="497"/>
        </w:trPr>
        <w:tc>
          <w:tcPr>
            <w:tcW w:w="9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B6ED" w14:textId="77777777" w:rsidR="009A26A1" w:rsidRDefault="009A26A1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4B8F">
              <w:rPr>
                <w:rFonts w:ascii="Arial" w:hAnsi="Arial" w:cs="Arial"/>
                <w:sz w:val="22"/>
                <w:szCs w:val="22"/>
              </w:rPr>
              <w:t xml:space="preserve">Talimogen-Laherparepvec </w:t>
            </w:r>
            <w:r w:rsidRPr="00701AB4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0143B8">
              <w:rPr>
                <w:rFonts w:ascii="Arial" w:hAnsi="Arial" w:cs="Arial"/>
                <w:sz w:val="22"/>
                <w:szCs w:val="22"/>
              </w:rPr>
              <w:t>indiziert zur Behandlung von Erwachsenen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mit nicht resezierbarem, lokal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oder entfernt metastasiertem Melanom (Stadium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 xml:space="preserve">IIIB, IIIC und </w:t>
            </w:r>
            <w:r>
              <w:rPr>
                <w:rFonts w:ascii="Arial" w:hAnsi="Arial" w:cs="Arial"/>
                <w:sz w:val="22"/>
                <w:szCs w:val="22"/>
              </w:rPr>
              <w:t xml:space="preserve">Stadium </w:t>
            </w:r>
            <w:r w:rsidRPr="000143B8">
              <w:rPr>
                <w:rFonts w:ascii="Arial" w:hAnsi="Arial" w:cs="Arial"/>
                <w:sz w:val="22"/>
                <w:szCs w:val="22"/>
              </w:rPr>
              <w:t>IV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3B8">
              <w:rPr>
                <w:rFonts w:ascii="Arial" w:hAnsi="Arial" w:cs="Arial"/>
                <w:sz w:val="22"/>
                <w:szCs w:val="22"/>
              </w:rPr>
              <w:t>M1a) ohne Knochen-,Hirn-, Lungen- oder andere viszerale Beteiligung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06AD16" w14:textId="77777777" w:rsidR="00BD03DE" w:rsidRPr="00515698" w:rsidRDefault="00BD03DE" w:rsidP="00B22F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EE4489" w14:textId="77777777" w:rsidR="00C5650A" w:rsidRPr="00515698" w:rsidRDefault="003F2B53" w:rsidP="003F2B53">
      <w:pPr>
        <w:tabs>
          <w:tab w:val="left" w:pos="40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5698">
        <w:rPr>
          <w:rFonts w:ascii="Arial" w:hAnsi="Arial" w:cs="Arial"/>
          <w:color w:val="000000"/>
        </w:rPr>
        <w:tab/>
      </w:r>
    </w:p>
    <w:tbl>
      <w:tblPr>
        <w:tblW w:w="949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C5650A" w:rsidRPr="00515698" w14:paraId="3F3A89A9" w14:textId="77777777">
        <w:trPr>
          <w:trHeight w:val="255"/>
        </w:trPr>
        <w:tc>
          <w:tcPr>
            <w:tcW w:w="9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F624" w14:textId="77777777" w:rsidR="00C5650A" w:rsidRPr="00515698" w:rsidRDefault="00BD03DE" w:rsidP="002A6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2A69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5650A"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Welche bestehende Methode wird durch die neue Methode abgelöst oder ergänzt? </w:t>
            </w:r>
          </w:p>
        </w:tc>
      </w:tr>
      <w:tr w:rsidR="00C5650A" w:rsidRPr="00515698" w14:paraId="66FE6014" w14:textId="77777777" w:rsidTr="007B7182">
        <w:trPr>
          <w:trHeight w:val="777"/>
        </w:trPr>
        <w:tc>
          <w:tcPr>
            <w:tcW w:w="9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F648" w14:textId="77777777" w:rsidR="009A26A1" w:rsidRDefault="009A26A1" w:rsidP="009A26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den vergangenen Jahren sind eine Reihe von neu zugelassenen Therapieoptionen verfügbar geworden, die beim metastasierten Melanom zu einer Verbesserung des progressionsfreien oder Gesamtüberlebens geführt haben. </w:t>
            </w:r>
          </w:p>
          <w:p w14:paraId="3657F27C" w14:textId="77777777" w:rsidR="003F2B53" w:rsidRPr="007D2653" w:rsidRDefault="009A26A1" w:rsidP="009A26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Patienten mit einer geringen Tumorlast wird mit Talimogen-Laherparepvec eine Option als nebenwirkungsarme Alternative zur Immuntherapie mit CTLA-4- oder PD1-Inhibition oder bei BRAF-mutierten Fällen einer zielgerichteten Therapie verfügbar.</w:t>
            </w:r>
          </w:p>
        </w:tc>
      </w:tr>
    </w:tbl>
    <w:p w14:paraId="47B8C1B9" w14:textId="77777777" w:rsidR="00C5650A" w:rsidRPr="00515698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7"/>
      </w:tblGrid>
      <w:tr w:rsidR="00C5650A" w:rsidRPr="00515698" w14:paraId="324D6380" w14:textId="77777777">
        <w:trPr>
          <w:trHeight w:val="555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A39C" w14:textId="77777777" w:rsidR="00C5650A" w:rsidRPr="00515698" w:rsidRDefault="00C5650A" w:rsidP="00BD03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BD03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Ist die Methode vollständig oder in Teilen neu und warum handelt es sich um eine neue Untersuchungs- und Behandlungsmethode ? </w:t>
            </w:r>
          </w:p>
        </w:tc>
      </w:tr>
      <w:tr w:rsidR="00C5650A" w:rsidRPr="00515698" w14:paraId="33BE0A2D" w14:textId="77777777" w:rsidTr="007D2653">
        <w:trPr>
          <w:trHeight w:val="60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F872" w14:textId="77777777" w:rsidR="00C5650A" w:rsidRPr="00515698" w:rsidRDefault="009A26A1" w:rsidP="00B22F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F6E">
              <w:rPr>
                <w:rFonts w:ascii="Arial" w:hAnsi="Arial" w:cs="Arial"/>
                <w:color w:val="000000"/>
                <w:sz w:val="22"/>
                <w:szCs w:val="22"/>
              </w:rPr>
              <w:t xml:space="preserve">Das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Wirkprinzip ist neu und kam beim Melanom erstmalig zur zugelassenen Anwendung.</w:t>
            </w:r>
          </w:p>
        </w:tc>
      </w:tr>
    </w:tbl>
    <w:p w14:paraId="1C99353E" w14:textId="77777777" w:rsidR="00C5650A" w:rsidRPr="00515698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C5650A" w:rsidRPr="00515698" w14:paraId="55C15FC7" w14:textId="77777777">
        <w:trPr>
          <w:trHeight w:val="277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5DA5" w14:textId="77777777" w:rsidR="00C5650A" w:rsidRPr="00515698" w:rsidRDefault="00C5650A" w:rsidP="00BD03DE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BD03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Welche Auswirkungen hat die Methode auf die Verweildauer im Krankenhaus? </w:t>
            </w:r>
          </w:p>
        </w:tc>
      </w:tr>
      <w:tr w:rsidR="001D6603" w:rsidRPr="00515698" w14:paraId="485E9988" w14:textId="77777777">
        <w:trPr>
          <w:trHeight w:val="830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3127" w14:textId="77777777" w:rsidR="001D6603" w:rsidRPr="00515698" w:rsidRDefault="009A26A1" w:rsidP="002F1B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F6E">
              <w:rPr>
                <w:rFonts w:ascii="Arial" w:hAnsi="Arial" w:cs="Arial"/>
                <w:color w:val="000000"/>
                <w:sz w:val="22"/>
                <w:szCs w:val="22"/>
              </w:rPr>
              <w:t xml:space="preserve">Zum jetzigen Zeitpunkt liegen zu dieser Frage noch keine validen Erkenntnisse vor. Wegen der prinzipiell ambulant durchführbaren Therapie wird die Verabreichung von </w:t>
            </w:r>
            <w:r>
              <w:rPr>
                <w:rFonts w:ascii="Arial" w:hAnsi="Arial" w:cs="Arial"/>
                <w:sz w:val="22"/>
                <w:szCs w:val="22"/>
              </w:rPr>
              <w:t>Talimogen-Leherparepvec</w:t>
            </w:r>
            <w:r w:rsidRPr="00B22F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F6E">
              <w:rPr>
                <w:rFonts w:ascii="Arial" w:hAnsi="Arial" w:cs="Arial"/>
                <w:color w:val="000000"/>
                <w:sz w:val="22"/>
                <w:szCs w:val="22"/>
              </w:rPr>
              <w:t xml:space="preserve">unter stationären Bedingungen wird im Wesentlichen bei Patienten erfolgen, die aus anderen Gründen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stationärer Behandlung bedürfen</w:t>
            </w:r>
            <w:r w:rsidRPr="009C082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diesen Fällen 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wird die Verweildauer durch die Applikation von </w:t>
            </w:r>
            <w:r>
              <w:rPr>
                <w:rFonts w:ascii="Arial" w:hAnsi="Arial" w:cs="Arial"/>
                <w:sz w:val="22"/>
                <w:szCs w:val="22"/>
              </w:rPr>
              <w:t>Talimogen-Leherparepvec</w:t>
            </w:r>
            <w:r w:rsidRPr="00B22F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voraussichtlich 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>nicht verlängert werden.</w:t>
            </w:r>
          </w:p>
        </w:tc>
      </w:tr>
    </w:tbl>
    <w:p w14:paraId="7034D3B0" w14:textId="77777777" w:rsidR="004634D0" w:rsidRDefault="004634D0" w:rsidP="004634D0">
      <w:pPr>
        <w:rPr>
          <w:rFonts w:ascii="Arial Narrow" w:hAnsi="Arial Narrow"/>
          <w:b/>
          <w:color w:val="548DD4"/>
          <w:szCs w:val="22"/>
        </w:rPr>
      </w:pPr>
    </w:p>
    <w:p w14:paraId="35AA0C9C" w14:textId="77777777" w:rsidR="004634D0" w:rsidRPr="00FA73F5" w:rsidRDefault="004634D0" w:rsidP="004634D0">
      <w:pPr>
        <w:rPr>
          <w:rFonts w:ascii="Arial Narrow" w:hAnsi="Arial Narrow"/>
          <w:b/>
          <w:color w:val="548DD4"/>
          <w:szCs w:val="22"/>
        </w:rPr>
      </w:pPr>
      <w:r>
        <w:rPr>
          <w:rFonts w:ascii="Arial Narrow" w:hAnsi="Arial Narrow"/>
          <w:b/>
          <w:color w:val="548DD4"/>
          <w:szCs w:val="22"/>
        </w:rPr>
        <w:t>KENNZAHLEN</w:t>
      </w:r>
    </w:p>
    <w:p w14:paraId="57B2984F" w14:textId="77777777" w:rsidR="00C5650A" w:rsidRPr="00515698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7"/>
      </w:tblGrid>
      <w:tr w:rsidR="00C5650A" w:rsidRPr="00515698" w14:paraId="3B825E1B" w14:textId="77777777">
        <w:trPr>
          <w:trHeight w:val="234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EE28" w14:textId="77777777" w:rsidR="00C5650A" w:rsidRPr="00515698" w:rsidRDefault="00C5650A" w:rsidP="00C565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3.1 Wann wurde diese Methode in Deutschland eingeführt? </w:t>
            </w:r>
          </w:p>
        </w:tc>
      </w:tr>
      <w:tr w:rsidR="00C5650A" w:rsidRPr="00515698" w14:paraId="0CA6F561" w14:textId="77777777" w:rsidTr="007B7182">
        <w:trPr>
          <w:trHeight w:val="458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091A" w14:textId="77777777" w:rsidR="00C5650A" w:rsidRPr="002E71FF" w:rsidRDefault="009A26A1" w:rsidP="002F1B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Talimogen-Leherparepvec</w:t>
            </w:r>
            <w:r w:rsidRPr="00B22F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wurde im Rahmen klinischer Prüfungen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seit 2014 in Deutschland eingesetzt.</w:t>
            </w:r>
          </w:p>
        </w:tc>
      </w:tr>
    </w:tbl>
    <w:p w14:paraId="7C202FED" w14:textId="77777777" w:rsidR="00C5650A" w:rsidRPr="00515698" w:rsidRDefault="006E63C4" w:rsidP="006E63C4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5698">
        <w:rPr>
          <w:rFonts w:ascii="Arial" w:hAnsi="Arial" w:cs="Arial"/>
          <w:color w:val="000000"/>
        </w:rPr>
        <w:tab/>
      </w:r>
    </w:p>
    <w:tbl>
      <w:tblPr>
        <w:tblW w:w="947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C5650A" w:rsidRPr="00515698" w14:paraId="74A200D3" w14:textId="77777777">
        <w:trPr>
          <w:trHeight w:val="266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B7EF2" w14:textId="77777777" w:rsidR="00C5650A" w:rsidRPr="00515698" w:rsidRDefault="00C5650A" w:rsidP="00045CD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3.2 Bei Medikamenten: Wann wurde dieses Medikament zugelassen? </w:t>
            </w:r>
          </w:p>
        </w:tc>
      </w:tr>
      <w:tr w:rsidR="00C5650A" w:rsidRPr="00515698" w14:paraId="42D039EF" w14:textId="77777777">
        <w:trPr>
          <w:trHeight w:val="166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682AF" w14:textId="77777777" w:rsidR="007D2653" w:rsidRPr="00515698" w:rsidRDefault="009A26A1" w:rsidP="00B22F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Zulassung von Talimogen-L</w:t>
            </w:r>
            <w:r w:rsidRPr="00AA5C11">
              <w:rPr>
                <w:rFonts w:ascii="Arial" w:hAnsi="Arial" w:cs="Arial"/>
                <w:sz w:val="22"/>
                <w:szCs w:val="22"/>
              </w:rPr>
              <w:t>aherparepvec erfolgte am 16. Dezember 2015</w:t>
            </w:r>
          </w:p>
        </w:tc>
      </w:tr>
    </w:tbl>
    <w:p w14:paraId="494B4ECE" w14:textId="77777777" w:rsidR="00C5650A" w:rsidRPr="00515698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C5650A" w:rsidRPr="00515698" w14:paraId="4D9619F3" w14:textId="77777777">
        <w:trPr>
          <w:trHeight w:val="372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0B87" w14:textId="77777777" w:rsidR="00C5650A" w:rsidRPr="00515698" w:rsidRDefault="00C5650A" w:rsidP="00C565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3.3 Wann wurde </w:t>
            </w:r>
            <w:r w:rsidR="006145B5"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bzw. wird 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die Methode in Ihrem Krankenhaus eingeführt? </w:t>
            </w:r>
          </w:p>
        </w:tc>
      </w:tr>
      <w:tr w:rsidR="00C5650A" w:rsidRPr="00515698" w14:paraId="313D8477" w14:textId="77777777">
        <w:trPr>
          <w:trHeight w:val="370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6C4D" w14:textId="77777777" w:rsidR="00C46AAB" w:rsidRPr="00C46AAB" w:rsidRDefault="004634D0" w:rsidP="004634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&lt;Angabe hier ergänzen&gt;</w:t>
            </w:r>
            <w:r w:rsidR="00C46AAB" w:rsidRPr="00A94A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00F8F71" w14:textId="77777777" w:rsidR="00E645C0" w:rsidRPr="00515698" w:rsidRDefault="00E645C0" w:rsidP="00E645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E645C0" w:rsidRPr="00515698" w14:paraId="35DD80A7" w14:textId="77777777" w:rsidTr="00B9789F">
        <w:trPr>
          <w:trHeight w:val="264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E9D19" w14:textId="77777777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3.4 In wie vielen Kliniken wird diese Methode derzeit eingesetzt (Schätzung)? </w:t>
            </w:r>
          </w:p>
        </w:tc>
      </w:tr>
      <w:tr w:rsidR="00E645C0" w:rsidRPr="00515698" w14:paraId="6A5843B7" w14:textId="77777777" w:rsidTr="00B9789F">
        <w:trPr>
          <w:trHeight w:val="263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65D5" w14:textId="7B5B95D4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Es wird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einem Teil der 1</w:t>
            </w:r>
            <w:r w:rsidR="008F580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 Onkologischen Zentren in Deutschland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in den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8F58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zertifizierten Hautkrebszentren sowie weiteren Krankenhäusern eingesetzt werden, die </w:t>
            </w:r>
            <w:r w:rsidR="008F580F">
              <w:rPr>
                <w:rFonts w:ascii="Arial" w:hAnsi="Arial" w:cs="Arial"/>
                <w:color w:val="000000"/>
                <w:sz w:val="22"/>
                <w:szCs w:val="22"/>
              </w:rPr>
              <w:t>bereits zuvor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einen NUB-Antrag gestellt haben (n=</w:t>
            </w:r>
            <w:r w:rsidRPr="00E645C0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572AAB2E" w14:textId="77777777" w:rsidR="00E645C0" w:rsidRPr="00515698" w:rsidRDefault="00E645C0" w:rsidP="00E645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7"/>
      </w:tblGrid>
      <w:tr w:rsidR="00E645C0" w:rsidRPr="00515698" w14:paraId="67802207" w14:textId="77777777" w:rsidTr="00B9789F">
        <w:trPr>
          <w:trHeight w:val="537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EC8A" w14:textId="49C6D137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3.5 Wie viele Patienten wurden in Ihrem Krankenhaus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 </w:t>
            </w:r>
            <w:r w:rsidR="008F5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oder in </w:t>
            </w:r>
            <w:r w:rsidR="008F5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mit dieser Methode behandelt? </w:t>
            </w:r>
          </w:p>
        </w:tc>
      </w:tr>
      <w:tr w:rsidR="00E645C0" w:rsidRPr="00515698" w14:paraId="3CE65FE8" w14:textId="77777777" w:rsidTr="00B9789F">
        <w:trPr>
          <w:trHeight w:val="268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53B7" w14:textId="38225867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In </w:t>
            </w:r>
            <w:r w:rsidR="008F5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E645C0" w:rsidRPr="00515698" w14:paraId="5467E1D4" w14:textId="77777777" w:rsidTr="00B9789F">
        <w:trPr>
          <w:trHeight w:val="267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2B9C" w14:textId="77777777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&lt;Angabe hier ergänzen&gt;</w:t>
            </w:r>
            <w:r w:rsidRPr="00A94AFC">
              <w:rPr>
                <w:rFonts w:ascii="Arial" w:hAnsi="Arial" w:cs="Arial"/>
                <w:color w:val="000000"/>
                <w:sz w:val="22"/>
                <w:szCs w:val="22"/>
              </w:rPr>
              <w:t xml:space="preserve"> 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atienten</w:t>
            </w:r>
          </w:p>
        </w:tc>
      </w:tr>
      <w:tr w:rsidR="00E645C0" w:rsidRPr="00515698" w14:paraId="6F3EB555" w14:textId="77777777" w:rsidTr="00B9789F">
        <w:trPr>
          <w:trHeight w:val="268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F5A0F" w14:textId="702DF9A2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 </w:t>
            </w:r>
            <w:r w:rsidR="008F5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5C0" w:rsidRPr="00515698" w14:paraId="71D69A15" w14:textId="77777777" w:rsidTr="00B9789F">
        <w:trPr>
          <w:trHeight w:val="267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6D72" w14:textId="77777777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&lt;Angabe hier ergänzen&gt;</w:t>
            </w:r>
            <w:r w:rsidRPr="00A94AFC">
              <w:rPr>
                <w:rFonts w:ascii="Arial" w:hAnsi="Arial" w:cs="Arial"/>
                <w:color w:val="000000"/>
                <w:sz w:val="22"/>
                <w:szCs w:val="22"/>
              </w:rPr>
              <w:t xml:space="preserve"> 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atienten</w:t>
            </w:r>
          </w:p>
        </w:tc>
      </w:tr>
    </w:tbl>
    <w:p w14:paraId="50E21881" w14:textId="77777777" w:rsidR="00E645C0" w:rsidRPr="00515698" w:rsidRDefault="00E645C0" w:rsidP="00E645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8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45C0" w:rsidRPr="00515698" w14:paraId="14563D22" w14:textId="77777777" w:rsidTr="00B9789F">
        <w:trPr>
          <w:trHeight w:val="286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F6E4" w14:textId="4E56BAEF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 Wieviele 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atienten planen Sie im Jahr </w:t>
            </w:r>
            <w:r w:rsidR="008F5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mit dieser Methode zu behandeln? </w:t>
            </w:r>
          </w:p>
        </w:tc>
      </w:tr>
      <w:tr w:rsidR="00E645C0" w:rsidRPr="00515698" w14:paraId="394808EA" w14:textId="77777777" w:rsidTr="00B9789F">
        <w:trPr>
          <w:trHeight w:val="285"/>
        </w:trPr>
        <w:tc>
          <w:tcPr>
            <w:tcW w:w="9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EC96" w14:textId="77777777" w:rsidR="00E645C0" w:rsidRPr="00515698" w:rsidRDefault="00E645C0" w:rsidP="00B97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ca.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&lt;Angabe hier ergänzen&gt;</w:t>
            </w:r>
            <w:r w:rsidRPr="00A94AFC">
              <w:rPr>
                <w:rFonts w:ascii="Arial" w:hAnsi="Arial" w:cs="Arial"/>
                <w:color w:val="000000"/>
                <w:sz w:val="22"/>
                <w:szCs w:val="22"/>
              </w:rPr>
              <w:t xml:space="preserve"> 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atienten</w:t>
            </w:r>
          </w:p>
        </w:tc>
      </w:tr>
    </w:tbl>
    <w:p w14:paraId="1B8ACB5B" w14:textId="77777777" w:rsidR="00E645C0" w:rsidRDefault="00E645C0" w:rsidP="00E645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A82D70" w14:textId="77777777" w:rsidR="004634D0" w:rsidRDefault="004634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CE3F12F" w14:textId="77777777" w:rsidR="004634D0" w:rsidRPr="00FA73F5" w:rsidRDefault="004634D0" w:rsidP="004634D0">
      <w:pPr>
        <w:rPr>
          <w:rFonts w:ascii="Arial Narrow" w:hAnsi="Arial Narrow"/>
          <w:b/>
          <w:color w:val="548DD4"/>
          <w:szCs w:val="22"/>
        </w:rPr>
      </w:pPr>
      <w:r>
        <w:rPr>
          <w:rFonts w:ascii="Arial Narrow" w:hAnsi="Arial Narrow"/>
          <w:b/>
          <w:color w:val="548DD4"/>
          <w:szCs w:val="22"/>
        </w:rPr>
        <w:lastRenderedPageBreak/>
        <w:t>MEHRKOSTEN</w:t>
      </w:r>
    </w:p>
    <w:p w14:paraId="7FA88D8F" w14:textId="77777777" w:rsidR="00C5650A" w:rsidRPr="00515698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7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4"/>
      </w:tblGrid>
      <w:tr w:rsidR="00C5650A" w:rsidRPr="00515698" w14:paraId="70446154" w14:textId="77777777">
        <w:trPr>
          <w:trHeight w:val="665"/>
        </w:trPr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9FF6" w14:textId="77777777" w:rsidR="00C5650A" w:rsidRPr="00515698" w:rsidRDefault="00C5650A" w:rsidP="00C565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4.1 Entstehen durch die neue Methode Mehrkosten gegenüber dem bisher üblichen Verfahren? Wenn ja, wodurch? In welcher Höhe (möglichst aufgetrennt nach Personal- und Sachkosten)? </w:t>
            </w:r>
          </w:p>
        </w:tc>
      </w:tr>
      <w:tr w:rsidR="00C5650A" w:rsidRPr="00515698" w14:paraId="7207C0BC" w14:textId="77777777" w:rsidTr="007B7182">
        <w:trPr>
          <w:trHeight w:val="1628"/>
        </w:trPr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BFDE" w14:textId="77777777" w:rsidR="009A26A1" w:rsidRDefault="00DB2BF8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2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9A26A1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achkosten</w:t>
            </w:r>
            <w:r w:rsidR="009A26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0B5C2C" w14:textId="26B43103" w:rsidR="009A26A1" w:rsidRDefault="009A26A1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Talimogen-Laherparepvec</w:t>
            </w:r>
            <w:proofErr w:type="spellEnd"/>
            <w:r w:rsidRPr="00B22FB4">
              <w:rPr>
                <w:rFonts w:ascii="Arial" w:hAnsi="Arial" w:cs="Arial"/>
                <w:sz w:val="22"/>
                <w:szCs w:val="22"/>
              </w:rPr>
              <w:t xml:space="preserve"> wird </w:t>
            </w:r>
            <w:r>
              <w:rPr>
                <w:rFonts w:ascii="Arial" w:hAnsi="Arial" w:cs="Arial"/>
                <w:sz w:val="22"/>
                <w:szCs w:val="22"/>
              </w:rPr>
              <w:t xml:space="preserve">in zwei unterschiedlichen Konzentrationen angewandt, initial mit </w:t>
            </w:r>
            <w:r w:rsidRPr="000975EB">
              <w:rPr>
                <w:rFonts w:ascii="Arial" w:hAnsi="Arial" w:cs="Arial"/>
                <w:sz w:val="22"/>
                <w:szCs w:val="22"/>
              </w:rPr>
              <w:t>10</w:t>
            </w:r>
            <w:r w:rsidRPr="000975EB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Pr="000975EB">
              <w:rPr>
                <w:rFonts w:ascii="Arial" w:hAnsi="Arial" w:cs="Arial"/>
                <w:sz w:val="22"/>
                <w:szCs w:val="22"/>
              </w:rPr>
              <w:t xml:space="preserve"> PFU/ml</w:t>
            </w:r>
            <w:r>
              <w:rPr>
                <w:rFonts w:ascii="Arial" w:hAnsi="Arial" w:cs="Arial"/>
                <w:sz w:val="22"/>
                <w:szCs w:val="22"/>
              </w:rPr>
              <w:t xml:space="preserve">, danach mit </w:t>
            </w:r>
            <w:r w:rsidRPr="000975EB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 w:rsidRPr="000975EB">
              <w:rPr>
                <w:rFonts w:ascii="Arial" w:hAnsi="Arial" w:cs="Arial"/>
                <w:sz w:val="22"/>
                <w:szCs w:val="22"/>
              </w:rPr>
              <w:t xml:space="preserve"> PFU/m</w:t>
            </w:r>
            <w:r>
              <w:rPr>
                <w:rFonts w:ascii="Arial" w:hAnsi="Arial" w:cs="Arial"/>
                <w:sz w:val="22"/>
                <w:szCs w:val="22"/>
              </w:rPr>
              <w:t>l. Von beiden werden jeweils maximal 4 ml in die Metastasen infiltriert. Der Abstand zwischen den Injektionen beträgt 2 Wochen. Der Preis für beide Konzentrationen ist gleich und beträgt 1.</w:t>
            </w:r>
            <w:r w:rsidR="008F580F">
              <w:rPr>
                <w:rFonts w:ascii="Arial" w:hAnsi="Arial" w:cs="Arial"/>
                <w:sz w:val="22"/>
                <w:szCs w:val="22"/>
              </w:rPr>
              <w:t>468,21</w:t>
            </w:r>
            <w:r w:rsidRPr="000975EB">
              <w:rPr>
                <w:rFonts w:ascii="Arial" w:hAnsi="Arial" w:cs="Arial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eine 1ml Ampulle</w:t>
            </w:r>
            <w:r w:rsidRPr="000975E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Bei einem Inje</w:t>
            </w:r>
            <w:r w:rsidRPr="000975EB">
              <w:rPr>
                <w:rFonts w:ascii="Arial" w:hAnsi="Arial" w:cs="Arial"/>
                <w:sz w:val="22"/>
                <w:szCs w:val="22"/>
              </w:rPr>
              <w:t>ktionsvolume</w:t>
            </w:r>
            <w:bookmarkStart w:id="0" w:name="_GoBack"/>
            <w:bookmarkEnd w:id="0"/>
            <w:r w:rsidRPr="000975EB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 xml:space="preserve">von 4ml ergeben sich Arzneikosten von maximal </w:t>
            </w:r>
            <w:r w:rsidR="008F580F">
              <w:rPr>
                <w:rFonts w:ascii="Arial" w:hAnsi="Arial" w:cs="Arial"/>
                <w:sz w:val="22"/>
                <w:szCs w:val="22"/>
              </w:rPr>
              <w:t xml:space="preserve">5845,12 </w:t>
            </w:r>
            <w:r w:rsidRPr="000975EB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den Behandlungstag.</w:t>
            </w:r>
          </w:p>
          <w:p w14:paraId="77DBEA7C" w14:textId="77777777" w:rsidR="009A26A1" w:rsidRDefault="009A26A1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BF8378" w14:textId="77777777" w:rsidR="009A26A1" w:rsidRDefault="009A26A1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 stehen keine relevanten, in die entsprechenden DRG's einkalkulierten Medikamenten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kosten einer antineoplastischen Therapie gegenüber, die als Einsparung diese Kosten decken würden.</w:t>
            </w:r>
          </w:p>
          <w:p w14:paraId="30236624" w14:textId="77777777" w:rsidR="009A26A1" w:rsidRDefault="009A26A1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123ADC" w14:textId="77777777" w:rsidR="009A26A1" w:rsidRPr="00DB2BF8" w:rsidRDefault="009A26A1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2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Personal:</w:t>
            </w:r>
          </w:p>
          <w:p w14:paraId="2B68E436" w14:textId="77777777" w:rsidR="007D2653" w:rsidRPr="007D2653" w:rsidRDefault="009A26A1" w:rsidP="009A26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Die Personalkosten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halten sich im Rahmen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üblichen Personalkostenanteils für eine medikamentöse Tumortherapie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(ca. 30 Minuten Apotheke, 2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>0 Minuten Pflege,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>0 Minuten Arzt), ohne dass spezifische Mehrkosten anfallen.</w:t>
            </w:r>
          </w:p>
        </w:tc>
      </w:tr>
    </w:tbl>
    <w:p w14:paraId="2E79D353" w14:textId="77777777" w:rsidR="00C5650A" w:rsidRPr="00515698" w:rsidRDefault="00C5650A" w:rsidP="00C565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C5650A" w:rsidRPr="00515698" w14:paraId="0E41A1FC" w14:textId="77777777">
        <w:trPr>
          <w:trHeight w:val="298"/>
        </w:trPr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E7B4" w14:textId="77777777" w:rsidR="00C5650A" w:rsidRPr="00515698" w:rsidRDefault="00C5650A" w:rsidP="00C565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4.2 Welche DRG(s) ist/sind am häufigsten von dieser Methode betroffen? </w:t>
            </w:r>
          </w:p>
        </w:tc>
      </w:tr>
      <w:tr w:rsidR="00C5650A" w:rsidRPr="00515698" w14:paraId="4037876B" w14:textId="77777777" w:rsidTr="007B7182">
        <w:trPr>
          <w:trHeight w:val="468"/>
        </w:trPr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FFDD" w14:textId="77777777" w:rsidR="00A82F73" w:rsidRPr="00515698" w:rsidRDefault="005B621D" w:rsidP="009A26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Bei einer Aufnahme mit der Hauptdiagnose malignes Melanom (C43.-) </w:t>
            </w:r>
            <w:r w:rsidR="00826E1B"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konservativer Therapie </w:t>
            </w:r>
            <w:r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sind dies in </w:t>
            </w:r>
            <w:r w:rsidR="00826E1B" w:rsidRPr="00515698">
              <w:rPr>
                <w:rFonts w:ascii="Arial" w:hAnsi="Arial" w:cs="Arial"/>
                <w:color w:val="000000"/>
                <w:sz w:val="22"/>
                <w:szCs w:val="22"/>
              </w:rPr>
              <w:t>der</w:t>
            </w:r>
            <w:r w:rsidR="007B7182"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 Regel die DRG J68A oder J61C.</w:t>
            </w:r>
            <w:r w:rsidR="00826E1B" w:rsidRPr="00515698">
              <w:rPr>
                <w:rFonts w:ascii="Arial" w:hAnsi="Arial" w:cs="Arial"/>
                <w:color w:val="000000"/>
                <w:sz w:val="22"/>
                <w:szCs w:val="22"/>
              </w:rPr>
              <w:t xml:space="preserve"> Daneben sind auch stationäre Behandlungen unter anderen DRGs mit begleitender Therapie </w:t>
            </w:r>
            <w:r w:rsidR="009A26A1">
              <w:rPr>
                <w:rFonts w:ascii="Arial" w:hAnsi="Arial" w:cs="Arial"/>
                <w:color w:val="000000"/>
                <w:sz w:val="22"/>
                <w:szCs w:val="22"/>
              </w:rPr>
              <w:t xml:space="preserve">mittels Talimogen-Lyherparepvec </w:t>
            </w:r>
            <w:r w:rsidR="00826E1B" w:rsidRPr="00515698">
              <w:rPr>
                <w:rFonts w:ascii="Arial" w:hAnsi="Arial" w:cs="Arial"/>
                <w:color w:val="000000"/>
                <w:sz w:val="22"/>
                <w:szCs w:val="22"/>
              </w:rPr>
              <w:t>denkbar.</w:t>
            </w:r>
          </w:p>
        </w:tc>
      </w:tr>
    </w:tbl>
    <w:p w14:paraId="2D52EE50" w14:textId="77777777" w:rsidR="00C5650A" w:rsidRPr="00515698" w:rsidRDefault="00C5650A" w:rsidP="00C5650A">
      <w:pPr>
        <w:pStyle w:val="Default"/>
        <w:rPr>
          <w:rFonts w:ascii="Arial" w:hAnsi="Arial" w:cs="Arial"/>
        </w:rPr>
      </w:pPr>
    </w:p>
    <w:tbl>
      <w:tblPr>
        <w:tblW w:w="947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C5650A" w:rsidRPr="00515698" w14:paraId="006DDDE7" w14:textId="77777777">
        <w:trPr>
          <w:trHeight w:val="586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D2FC1" w14:textId="77777777" w:rsidR="00C5650A" w:rsidRPr="00515698" w:rsidRDefault="00C5650A">
            <w:pPr>
              <w:pStyle w:val="Textkrper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4.3 Warum ist diese Methode aus Ihrer Sicht derzeit im G-DRG-System nicht sachgerecht abgebildet? </w:t>
            </w:r>
          </w:p>
        </w:tc>
      </w:tr>
      <w:tr w:rsidR="00C5650A" w:rsidRPr="00515698" w14:paraId="5BFD5C5D" w14:textId="77777777">
        <w:trPr>
          <w:trHeight w:val="876"/>
        </w:trPr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91C8" w14:textId="77777777" w:rsidR="00DB2BF8" w:rsidRDefault="005B621D" w:rsidP="00060A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5698">
              <w:rPr>
                <w:rFonts w:ascii="Arial" w:hAnsi="Arial" w:cs="Arial"/>
                <w:sz w:val="22"/>
                <w:szCs w:val="22"/>
              </w:rPr>
              <w:t>Die</w:t>
            </w:r>
            <w:r w:rsidR="00254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698">
              <w:rPr>
                <w:rFonts w:ascii="Arial" w:hAnsi="Arial" w:cs="Arial"/>
                <w:sz w:val="22"/>
                <w:szCs w:val="22"/>
              </w:rPr>
              <w:t>zusätzlichen Kosten dieser Methode können durch den derzeitigen Fallpauschalenkatalog allein nich</w:t>
            </w:r>
            <w:r w:rsidR="0067345F" w:rsidRPr="00515698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DB2BF8">
              <w:rPr>
                <w:rFonts w:ascii="Arial" w:hAnsi="Arial" w:cs="Arial"/>
                <w:sz w:val="22"/>
                <w:szCs w:val="22"/>
              </w:rPr>
              <w:t>ausreichend abgebildet werden, da sich die Methode in den Kostenerhebungen bisher nicht abbilden konnte</w:t>
            </w:r>
            <w:r w:rsidR="007D2653">
              <w:rPr>
                <w:rFonts w:ascii="Arial" w:hAnsi="Arial" w:cs="Arial"/>
                <w:sz w:val="22"/>
                <w:szCs w:val="22"/>
              </w:rPr>
              <w:t>n</w:t>
            </w:r>
            <w:r w:rsidR="00DB2BF8">
              <w:rPr>
                <w:rFonts w:ascii="Arial" w:hAnsi="Arial" w:cs="Arial"/>
                <w:sz w:val="22"/>
                <w:szCs w:val="22"/>
              </w:rPr>
              <w:t>.</w:t>
            </w:r>
            <w:r w:rsidR="002542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73553C" w14:textId="77777777" w:rsidR="007D2653" w:rsidRDefault="007D2653" w:rsidP="00060A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99D140" w14:textId="77777777" w:rsidR="00726070" w:rsidRPr="00515698" w:rsidRDefault="00BB4E44" w:rsidP="00BB4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  <w:r w:rsidR="00DB2BF8" w:rsidRPr="005156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BF8">
              <w:rPr>
                <w:rFonts w:ascii="Arial" w:hAnsi="Arial" w:cs="Arial"/>
                <w:sz w:val="22"/>
                <w:szCs w:val="22"/>
              </w:rPr>
              <w:t xml:space="preserve">zu erwartenden </w:t>
            </w:r>
            <w:r w:rsidR="00DB2BF8" w:rsidRPr="00515698">
              <w:rPr>
                <w:rFonts w:ascii="Arial" w:hAnsi="Arial" w:cs="Arial"/>
                <w:sz w:val="22"/>
                <w:szCs w:val="22"/>
              </w:rPr>
              <w:t xml:space="preserve">Kosten </w:t>
            </w:r>
            <w:r w:rsidR="00DB2BF8">
              <w:rPr>
                <w:rFonts w:ascii="Arial" w:hAnsi="Arial" w:cs="Arial"/>
                <w:sz w:val="22"/>
                <w:szCs w:val="22"/>
              </w:rPr>
              <w:t xml:space="preserve">pro Fall für dieses Medikament </w:t>
            </w:r>
            <w:r>
              <w:rPr>
                <w:rFonts w:ascii="Arial" w:hAnsi="Arial" w:cs="Arial"/>
                <w:sz w:val="22"/>
                <w:szCs w:val="22"/>
              </w:rPr>
              <w:t xml:space="preserve">überschreiten </w:t>
            </w:r>
            <w:r w:rsidR="00DB2BF8" w:rsidRPr="00515698">
              <w:rPr>
                <w:rFonts w:ascii="Arial" w:hAnsi="Arial" w:cs="Arial"/>
                <w:sz w:val="22"/>
                <w:szCs w:val="22"/>
              </w:rPr>
              <w:t>grundsätzlich den Kalkulationsrahmen</w:t>
            </w:r>
            <w:r w:rsidR="007D2653">
              <w:rPr>
                <w:rFonts w:ascii="Arial" w:hAnsi="Arial" w:cs="Arial"/>
                <w:sz w:val="22"/>
                <w:szCs w:val="22"/>
              </w:rPr>
              <w:t xml:space="preserve"> für Medikamente </w:t>
            </w:r>
            <w:r w:rsidR="00E52CDF">
              <w:rPr>
                <w:rFonts w:ascii="Arial" w:hAnsi="Arial" w:cs="Arial"/>
                <w:sz w:val="22"/>
                <w:szCs w:val="22"/>
              </w:rPr>
              <w:t xml:space="preserve"> der betroffenen DRGs</w:t>
            </w:r>
            <w:r w:rsidR="00DB2BF8" w:rsidRPr="00515698">
              <w:rPr>
                <w:rFonts w:ascii="Arial" w:hAnsi="Arial" w:cs="Arial"/>
                <w:sz w:val="22"/>
                <w:szCs w:val="22"/>
              </w:rPr>
              <w:t>, so dass eine zukünftige sachgerechte Abbildung in der Systematik erst durch eine spezifische DRG bzw. ein entsprechendes Zusatzentgelt realisierbar werden wird.</w:t>
            </w:r>
          </w:p>
        </w:tc>
      </w:tr>
    </w:tbl>
    <w:p w14:paraId="21CD4D01" w14:textId="77777777" w:rsidR="00060A1A" w:rsidRPr="00515698" w:rsidRDefault="00060A1A">
      <w:pPr>
        <w:rPr>
          <w:rFonts w:ascii="Arial" w:hAnsi="Arial" w:cs="Arial"/>
          <w:sz w:val="22"/>
          <w:szCs w:val="22"/>
        </w:rPr>
      </w:pPr>
    </w:p>
    <w:sectPr w:rsidR="00060A1A" w:rsidRPr="00515698" w:rsidSect="00BD03DE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A362" w14:textId="77777777" w:rsidR="002A69D3" w:rsidRDefault="002A69D3" w:rsidP="009E360E">
      <w:r>
        <w:separator/>
      </w:r>
    </w:p>
  </w:endnote>
  <w:endnote w:type="continuationSeparator" w:id="0">
    <w:p w14:paraId="001F36FD" w14:textId="77777777" w:rsidR="002A69D3" w:rsidRDefault="002A69D3" w:rsidP="009E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altName w:val="LMU CompatilF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C1E9" w14:textId="77777777" w:rsidR="002A69D3" w:rsidRPr="00F00EB5" w:rsidRDefault="002A69D3" w:rsidP="00F00EB5">
    <w:pPr>
      <w:pStyle w:val="Fuzeile"/>
      <w:tabs>
        <w:tab w:val="clear" w:pos="4536"/>
      </w:tabs>
      <w:rPr>
        <w:rFonts w:asciiTheme="minorHAnsi" w:hAnsiTheme="minorHAnsi"/>
        <w:color w:val="767171" w:themeColor="background2" w:themeShade="80"/>
        <w:sz w:val="22"/>
        <w:szCs w:val="22"/>
      </w:rPr>
    </w:pPr>
    <w:r w:rsidRPr="00F00EB5">
      <w:rPr>
        <w:noProof/>
        <w:color w:val="767171" w:themeColor="background2" w:themeShade="80"/>
      </w:rPr>
      <w:drawing>
        <wp:anchor distT="0" distB="0" distL="114300" distR="114300" simplePos="0" relativeHeight="251658240" behindDoc="1" locked="0" layoutInCell="1" allowOverlap="1" wp14:anchorId="19E1A1FC" wp14:editId="000FFBD2">
          <wp:simplePos x="0" y="0"/>
          <wp:positionH relativeFrom="column">
            <wp:posOffset>-26035</wp:posOffset>
          </wp:positionH>
          <wp:positionV relativeFrom="bottomMargin">
            <wp:posOffset>-76200</wp:posOffset>
          </wp:positionV>
          <wp:extent cx="1970405" cy="489585"/>
          <wp:effectExtent l="0" t="0" r="0" b="5715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EB5">
      <w:rPr>
        <w:color w:val="767171" w:themeColor="background2" w:themeShade="80"/>
      </w:rPr>
      <w:tab/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t>ADO NUB-Vorlage</w: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br/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tab/>
      <w:t xml:space="preserve"> </w: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fldChar w:fldCharType="begin"/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instrText xml:space="preserve"> REF Substanz  \* MERGEFORMAT </w:instrTex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fldChar w:fldCharType="separate"/>
    </w:r>
    <w:r w:rsidR="009A26A1">
      <w:rPr>
        <w:rFonts w:asciiTheme="minorHAnsi" w:hAnsiTheme="minorHAnsi" w:cs="Arial"/>
        <w:color w:val="767171" w:themeColor="background2" w:themeShade="80"/>
        <w:sz w:val="22"/>
        <w:szCs w:val="22"/>
      </w:rPr>
      <w:t xml:space="preserve">T-VEC </w:t>
    </w:r>
    <w:r w:rsidRPr="006A107F">
      <w:rPr>
        <w:rFonts w:asciiTheme="minorHAnsi" w:hAnsiTheme="minorHAnsi" w:cs="Arial"/>
        <w:color w:val="767171" w:themeColor="background2" w:themeShade="80"/>
        <w:sz w:val="22"/>
        <w:szCs w:val="22"/>
      </w:rPr>
      <w:t xml:space="preserve">bei fortgeschrittenem Melanom </w: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fldChar w:fldCharType="end"/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t xml:space="preserve"> Seite </w: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fldChar w:fldCharType="begin"/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instrText>PAGE   \* MERGEFORMAT</w:instrTex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fldChar w:fldCharType="separate"/>
    </w:r>
    <w:r w:rsidR="00E645C0">
      <w:rPr>
        <w:rFonts w:asciiTheme="minorHAnsi" w:hAnsiTheme="minorHAnsi"/>
        <w:noProof/>
        <w:color w:val="767171" w:themeColor="background2" w:themeShade="80"/>
        <w:sz w:val="22"/>
        <w:szCs w:val="22"/>
      </w:rPr>
      <w:t>4</w:t>
    </w:r>
    <w:r w:rsidRPr="00F00EB5">
      <w:rPr>
        <w:rFonts w:asciiTheme="minorHAnsi" w:hAnsiTheme="minorHAnsi"/>
        <w:color w:val="767171" w:themeColor="background2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7510" w14:textId="77777777" w:rsidR="002A69D3" w:rsidRDefault="002A69D3" w:rsidP="009E360E">
      <w:r>
        <w:separator/>
      </w:r>
    </w:p>
  </w:footnote>
  <w:footnote w:type="continuationSeparator" w:id="0">
    <w:p w14:paraId="0B308EFA" w14:textId="77777777" w:rsidR="002A69D3" w:rsidRDefault="002A69D3" w:rsidP="009E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73B7" w14:textId="07A1D318" w:rsidR="002A69D3" w:rsidRPr="00F00EB5" w:rsidRDefault="002A69D3">
    <w:pPr>
      <w:pStyle w:val="Kopfzeile"/>
      <w:rPr>
        <w:rFonts w:asciiTheme="majorHAnsi" w:hAnsiTheme="majorHAnsi"/>
        <w:b/>
        <w:color w:val="767171" w:themeColor="background2" w:themeShade="80"/>
      </w:rPr>
    </w:pPr>
    <w:r w:rsidRPr="00F00EB5">
      <w:rPr>
        <w:rFonts w:asciiTheme="majorHAnsi" w:hAnsiTheme="majorHAnsi"/>
        <w:b/>
        <w:color w:val="767171" w:themeColor="background2" w:themeShade="80"/>
      </w:rPr>
      <w:t>Neue Untersuchungs- und Behandlungsmethoden (NUB)</w:t>
    </w:r>
    <w:r w:rsidR="00E645C0">
      <w:rPr>
        <w:rFonts w:asciiTheme="majorHAnsi" w:hAnsiTheme="majorHAnsi"/>
        <w:b/>
        <w:color w:val="767171" w:themeColor="background2" w:themeShade="80"/>
      </w:rPr>
      <w:t xml:space="preserve"> für </w:t>
    </w:r>
    <w:r w:rsidR="008F580F">
      <w:rPr>
        <w:rFonts w:asciiTheme="majorHAnsi" w:hAnsiTheme="majorHAnsi"/>
        <w:b/>
        <w:color w:val="767171" w:themeColor="background2" w:themeShade="8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27F52"/>
    <w:multiLevelType w:val="hybridMultilevel"/>
    <w:tmpl w:val="1B5E65E8"/>
    <w:lvl w:ilvl="0" w:tplc="61046E8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F"/>
    <w:rsid w:val="00025D09"/>
    <w:rsid w:val="00034A9D"/>
    <w:rsid w:val="00045CD6"/>
    <w:rsid w:val="000473DB"/>
    <w:rsid w:val="00060A1A"/>
    <w:rsid w:val="00074977"/>
    <w:rsid w:val="00084986"/>
    <w:rsid w:val="000E6FF0"/>
    <w:rsid w:val="00134E6C"/>
    <w:rsid w:val="0014282F"/>
    <w:rsid w:val="00145698"/>
    <w:rsid w:val="00192654"/>
    <w:rsid w:val="001D6603"/>
    <w:rsid w:val="00253330"/>
    <w:rsid w:val="002542CB"/>
    <w:rsid w:val="00273A87"/>
    <w:rsid w:val="00273ABD"/>
    <w:rsid w:val="002A69D3"/>
    <w:rsid w:val="002C4108"/>
    <w:rsid w:val="002C6213"/>
    <w:rsid w:val="002D2552"/>
    <w:rsid w:val="002E71FF"/>
    <w:rsid w:val="002F1B80"/>
    <w:rsid w:val="003012F1"/>
    <w:rsid w:val="00351517"/>
    <w:rsid w:val="00355D75"/>
    <w:rsid w:val="00382362"/>
    <w:rsid w:val="003A09C5"/>
    <w:rsid w:val="003A4DC0"/>
    <w:rsid w:val="003C673F"/>
    <w:rsid w:val="003F2B53"/>
    <w:rsid w:val="00411428"/>
    <w:rsid w:val="004159ED"/>
    <w:rsid w:val="004516F5"/>
    <w:rsid w:val="004537AC"/>
    <w:rsid w:val="004634D0"/>
    <w:rsid w:val="00484B3E"/>
    <w:rsid w:val="004C603E"/>
    <w:rsid w:val="004D4219"/>
    <w:rsid w:val="004F7FDC"/>
    <w:rsid w:val="00514518"/>
    <w:rsid w:val="00515698"/>
    <w:rsid w:val="005411D3"/>
    <w:rsid w:val="00553708"/>
    <w:rsid w:val="005660F7"/>
    <w:rsid w:val="00566D44"/>
    <w:rsid w:val="0057570A"/>
    <w:rsid w:val="005A1F2E"/>
    <w:rsid w:val="005B621D"/>
    <w:rsid w:val="0060378F"/>
    <w:rsid w:val="00607B46"/>
    <w:rsid w:val="00610F59"/>
    <w:rsid w:val="006145B5"/>
    <w:rsid w:val="00616140"/>
    <w:rsid w:val="00657862"/>
    <w:rsid w:val="006626A4"/>
    <w:rsid w:val="0067345F"/>
    <w:rsid w:val="00681CD2"/>
    <w:rsid w:val="00686BAC"/>
    <w:rsid w:val="006873D2"/>
    <w:rsid w:val="006A107F"/>
    <w:rsid w:val="006D2306"/>
    <w:rsid w:val="006E63C4"/>
    <w:rsid w:val="007003B3"/>
    <w:rsid w:val="00722AF1"/>
    <w:rsid w:val="00726070"/>
    <w:rsid w:val="00742CFB"/>
    <w:rsid w:val="00744D42"/>
    <w:rsid w:val="00752CD1"/>
    <w:rsid w:val="00761175"/>
    <w:rsid w:val="00766813"/>
    <w:rsid w:val="00787002"/>
    <w:rsid w:val="00787EB5"/>
    <w:rsid w:val="00793EEB"/>
    <w:rsid w:val="007B54E9"/>
    <w:rsid w:val="007B7182"/>
    <w:rsid w:val="007D2653"/>
    <w:rsid w:val="007D4816"/>
    <w:rsid w:val="007E4960"/>
    <w:rsid w:val="008024B0"/>
    <w:rsid w:val="00803F11"/>
    <w:rsid w:val="00813455"/>
    <w:rsid w:val="00821012"/>
    <w:rsid w:val="00826E1B"/>
    <w:rsid w:val="00834633"/>
    <w:rsid w:val="0084406F"/>
    <w:rsid w:val="008545A3"/>
    <w:rsid w:val="00872073"/>
    <w:rsid w:val="008E62FA"/>
    <w:rsid w:val="008F580F"/>
    <w:rsid w:val="00915B7A"/>
    <w:rsid w:val="00940640"/>
    <w:rsid w:val="009A26A1"/>
    <w:rsid w:val="009E360E"/>
    <w:rsid w:val="009F5073"/>
    <w:rsid w:val="00A13FF5"/>
    <w:rsid w:val="00A2235F"/>
    <w:rsid w:val="00A62628"/>
    <w:rsid w:val="00A66EC8"/>
    <w:rsid w:val="00A750E3"/>
    <w:rsid w:val="00A7561B"/>
    <w:rsid w:val="00A82F73"/>
    <w:rsid w:val="00A96833"/>
    <w:rsid w:val="00AA13C9"/>
    <w:rsid w:val="00AB1DC7"/>
    <w:rsid w:val="00AB4674"/>
    <w:rsid w:val="00AD27E0"/>
    <w:rsid w:val="00AD644F"/>
    <w:rsid w:val="00AF68BC"/>
    <w:rsid w:val="00B1698A"/>
    <w:rsid w:val="00B22FB4"/>
    <w:rsid w:val="00B503D6"/>
    <w:rsid w:val="00B61628"/>
    <w:rsid w:val="00B742BE"/>
    <w:rsid w:val="00BB4E44"/>
    <w:rsid w:val="00BD03DE"/>
    <w:rsid w:val="00BF7271"/>
    <w:rsid w:val="00C05CA6"/>
    <w:rsid w:val="00C11CAB"/>
    <w:rsid w:val="00C30C4C"/>
    <w:rsid w:val="00C46AAB"/>
    <w:rsid w:val="00C5498E"/>
    <w:rsid w:val="00C5650A"/>
    <w:rsid w:val="00C64AC6"/>
    <w:rsid w:val="00C72179"/>
    <w:rsid w:val="00C74D5C"/>
    <w:rsid w:val="00CA40AD"/>
    <w:rsid w:val="00CC2EE6"/>
    <w:rsid w:val="00CC33B9"/>
    <w:rsid w:val="00CD67A2"/>
    <w:rsid w:val="00CE4ADF"/>
    <w:rsid w:val="00D760C2"/>
    <w:rsid w:val="00D8231A"/>
    <w:rsid w:val="00DB2BF8"/>
    <w:rsid w:val="00DE218D"/>
    <w:rsid w:val="00DE40E2"/>
    <w:rsid w:val="00DF191D"/>
    <w:rsid w:val="00E05F25"/>
    <w:rsid w:val="00E15838"/>
    <w:rsid w:val="00E3646C"/>
    <w:rsid w:val="00E52CDF"/>
    <w:rsid w:val="00E57618"/>
    <w:rsid w:val="00E645C0"/>
    <w:rsid w:val="00E65BC9"/>
    <w:rsid w:val="00EA4922"/>
    <w:rsid w:val="00EB1F4A"/>
    <w:rsid w:val="00EE1720"/>
    <w:rsid w:val="00F00EB5"/>
    <w:rsid w:val="00F3692A"/>
    <w:rsid w:val="00F408AF"/>
    <w:rsid w:val="00F64985"/>
    <w:rsid w:val="00F920D0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989838"/>
  <w15:chartTrackingRefBased/>
  <w15:docId w15:val="{64F1E70E-FDEA-48DC-A387-59100ED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ADF"/>
    <w:pPr>
      <w:autoSpaceDE w:val="0"/>
      <w:autoSpaceDN w:val="0"/>
      <w:adjustRightInd w:val="0"/>
    </w:pPr>
    <w:rPr>
      <w:rFonts w:ascii="LMU CompatilFact" w:hAnsi="LMU CompatilFact" w:cs="LMU CompatilFact"/>
      <w:color w:val="000000"/>
      <w:sz w:val="24"/>
      <w:szCs w:val="24"/>
    </w:rPr>
  </w:style>
  <w:style w:type="paragraph" w:styleId="Textkrper2">
    <w:name w:val="Body Text 2"/>
    <w:basedOn w:val="Default"/>
    <w:next w:val="Default"/>
    <w:rsid w:val="00C5650A"/>
    <w:rPr>
      <w:rFonts w:cs="Times New Roman"/>
      <w:color w:val="auto"/>
    </w:rPr>
  </w:style>
  <w:style w:type="paragraph" w:styleId="Kopfzeile">
    <w:name w:val="header"/>
    <w:basedOn w:val="Standard"/>
    <w:link w:val="KopfzeileZchn"/>
    <w:rsid w:val="009E3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360E"/>
    <w:rPr>
      <w:sz w:val="24"/>
      <w:szCs w:val="24"/>
    </w:rPr>
  </w:style>
  <w:style w:type="paragraph" w:styleId="Fuzeile">
    <w:name w:val="footer"/>
    <w:basedOn w:val="Standard"/>
    <w:link w:val="FuzeileZchn"/>
    <w:rsid w:val="009E3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3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2D08-2703-45C7-82FA-C713C0E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6442</Characters>
  <Application>Microsoft Office Word</Application>
  <DocSecurity>0</DocSecurity>
  <Lines>222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NUB Ipilimumab</vt:lpstr>
    </vt:vector>
  </TitlesOfParts>
  <Company>Hautklinik UKSH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NUB Ipilimumab</dc:title>
  <dc:subject/>
  <dc:creator>Prof. Weichenthal</dc:creator>
  <cp:keywords/>
  <dc:description/>
  <cp:lastModifiedBy>Michael Weichenthal</cp:lastModifiedBy>
  <cp:revision>3</cp:revision>
  <dcterms:created xsi:type="dcterms:W3CDTF">2020-10-28T09:22:00Z</dcterms:created>
  <dcterms:modified xsi:type="dcterms:W3CDTF">2020-10-28T09:26:00Z</dcterms:modified>
</cp:coreProperties>
</file>